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color w:val="000000"/>
          <w:sz w:val="36"/>
          <w:szCs w:val="36"/>
          <w:rtl w:val="0"/>
        </w:rPr>
        <w:t xml:space="preserve">Call-Off </w:t>
      </w:r>
      <w:r w:rsidDel="00000000" w:rsidR="00000000" w:rsidRPr="00000000">
        <w:rPr>
          <w:b w:val="1"/>
          <w:bCs w:val="1"/>
          <w:sz w:val="36"/>
          <w:szCs w:val="36"/>
          <w:rtl w:val="0"/>
        </w:rPr>
        <w:t xml:space="preserve">Schedule </w:t>
      </w:r>
      <w:r w:rsidDel="00000000" w:rsidR="00000000" w:rsidRPr="00000000">
        <w:rPr>
          <w:b w:val="1"/>
          <w:bCs w:val="1"/>
          <w:color w:val="000000"/>
          <w:sz w:val="36"/>
          <w:szCs w:val="36"/>
          <w:rtl w:val="0"/>
        </w:rPr>
        <w:t xml:space="preserve">12 (Clustering</w:t>
      </w:r>
      <w:r w:rsidDel="00000000" w:rsidR="00000000" w:rsidRPr="00000000">
        <w:rPr>
          <w:b w:val="1"/>
          <w:bCs w:val="1"/>
          <w:sz w:val="36"/>
          <w:szCs w:val="36"/>
          <w:rtl w:val="0"/>
        </w:rPr>
        <w:t xml:space="preserve">)</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360" w:right="0" w:hanging="36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fc649ri0x9ci" w:id="0"/>
      <w:bookmarkEnd w:id="0"/>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bCs w:val="0"/>
          <w:i w:val="0"/>
          <w:iCs w:val="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When you should use this Schedule</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Schedule is required where various Other Contracting Authorities want to join with the Buyer to efficiently contract collectively under a single Call-Off Contract rather than as separate individual Buyers under separate Call-Off Contracts. </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bCs w:val="0"/>
          <w:i w:val="0"/>
          <w:iCs w:val="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Definitions </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“Cluster Members"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means a person named as such in the Annex A to this Schedule which shall be incorporated into the Order Form. </w:t>
      </w:r>
    </w:p>
    <w:p w:rsidR="00000000" w:rsidDel="00000000" w:rsidP="00000000" w:rsidRDefault="00000000" w:rsidRPr="00000000" w14:paraId="0000000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426"/>
        <w:jc w:val="left"/>
        <w:rPr>
          <w:rFonts w:ascii="Arial" w:cs="Arial" w:eastAsia="Arial" w:hAnsi="Arial"/>
          <w:b w:val="0"/>
          <w:bCs w:val="0"/>
          <w:i w:val="0"/>
          <w:iCs w:val="0"/>
          <w:sz w:val="24"/>
          <w:szCs w:val="24"/>
          <w:shd w:fill="auto" w:val="clear"/>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Cluster Members benefits under the Contract</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entered into the Call-Off Contract both for its own benefit and for the benefit the Cluster Members.  </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Cluster Members who are to benefit under the Call-Off Contract are identified in Annex A to this Schedule which shall be included into Order Form.</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bookmarkStart w:colFirst="0" w:colLast="0" w:name="_moffqf47hnyd" w:id="1"/>
      <w:bookmarkEnd w:id="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Cluster Members shall have all of the rights granted to the Buyer under a Call-Off Contract as if they had been parties to the Call-Off Contract themselves. Accordingly, where the context requires in order to assure the Cluster Members rights and benefits under a Call-Off Contract, and unless the Buyer otherwise specifies, references to the Buyer in a Call-Off Contract (including those references to a Party which are intended to relate to the Buyer) shall be deemed to include a reference to the Cluster Members.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bookmarkStart w:colFirst="0" w:colLast="0" w:name="_nsorynt60ah6" w:id="2"/>
      <w:bookmarkEnd w:id="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Each of the Cluster Members will be a third party beneficiary for the purposes of the CRTPA and may enforce the relevant provisions of a Call-Off Contract pursuant to CRTPA.  </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Parties to a Call-Off Contract may in accordance with its provisions vary, terminate or rescind that Call-Off Contract or any part of it, without the consent of any Cluster Member.</w:t>
      </w:r>
    </w:p>
    <w:p w:rsidR="00000000" w:rsidDel="00000000" w:rsidP="00000000" w:rsidRDefault="00000000" w:rsidRPr="00000000" w14:paraId="0000000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bookmarkStart w:colFirst="0" w:colLast="0" w:name="_sbnt5imohwf3" w:id="3"/>
      <w:bookmarkEnd w:id="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enforcement rights granted to Cluster Members under Paragraph ‎3.4 are subject to the following provisions: </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bookmarkStart w:colFirst="0" w:colLast="0" w:name="_3l7l7ehded77" w:id="4"/>
      <w:bookmarkEnd w:id="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enforce any provision of a Call-Off Contract on behalf of a Cluster Member; </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claim from a Cluster Member under the CRTPA to enforce a Call-Off Contract shall be brought by the Buyer if reasonably practicable for the Buyer and Cluster Member to do so; </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will ensure that Cluster Members comply with the Dispute Resolution Procedure in respect of any Disputes that involve a Cluster Member; and</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respect of any claim(s) to enforce a Call-Off Contract made by the Buyer on behalf of a Cluster Member and to any claim(s) to enforce a Call-Off Contract made by a Cluster Member acting on its own behalf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"Cluster Member claims"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835"/>
          <w:tab w:val="left" w:leader="none" w:pos="3402"/>
        </w:tabs>
        <w:spacing w:after="120" w:before="120" w:line="240" w:lineRule="auto"/>
        <w:ind w:left="2835" w:right="0" w:hanging="850"/>
        <w:jc w:val="left"/>
        <w:rPr>
          <w:b w:val="0"/>
          <w:bCs w:val="0"/>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exclusions of the Supplier's liability in the Call-Off Contract shall apply, where applicable, to any Cluster Member claims; and</w:t>
      </w:r>
    </w:p>
    <w:p w:rsidR="00000000" w:rsidDel="00000000" w:rsidP="00000000" w:rsidRDefault="00000000" w:rsidRPr="00000000" w14:paraId="000000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835"/>
        </w:tabs>
        <w:spacing w:after="120" w:before="120" w:line="240" w:lineRule="auto"/>
        <w:ind w:left="2835" w:right="0" w:hanging="850"/>
        <w:jc w:val="left"/>
        <w:rPr>
          <w:b w:val="0"/>
          <w:bCs w:val="0"/>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financial limits on the Supplier's liability in the Call-Off Contract shall apply on a per-Cluster Member basis in respect of the Supplier's liability for any Cluster Member claims, and not on an aggregate basis across all Cluster Members.</w:t>
      </w:r>
    </w:p>
    <w:p w:rsidR="00000000" w:rsidDel="00000000" w:rsidP="00000000" w:rsidRDefault="00000000" w:rsidRPr="00000000" w14:paraId="0000001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bookmarkStart w:colFirst="0" w:colLast="0" w:name="_pm1032lx57z0" w:id="5"/>
      <w:bookmarkEnd w:id="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Other terms and conditions applicable to the provision of the Deliverables to any Cluster Member are as follows:</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a Cluster Member needs to comply with an obligation or responsibility of the Buyer to allow the Supplier to provide the Deliverables, the Buyer will remain responsible for this compliance, but compliance by the Cluster Member will be deemed to be compliance by the Buyer; and</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to the extent that a Cluster Member receives the benefit of the Services, the term "Government Data" will be deemed to extend to any data of the Cluster Member.</w:t>
      </w:r>
    </w:p>
    <w:p w:rsidR="00000000" w:rsidDel="00000000" w:rsidP="00000000" w:rsidRDefault="00000000" w:rsidRPr="00000000" w14:paraId="0000001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that Cluster Members shall each receive the same Services from the Supplier the following adjustments will apply in relation to how the Call-Off Contract will operate in relation to the Buyer and Cluster Members:</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Services will be provided by the Supplier to each Cluster Member and Buyer separately; </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obligation in regards to reporting will be owed to each Cluster Member and Buyer separately;</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and Cluster Members shall be entitled to separate invoices in respect of the provision of Deliverables; </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separate invoices will correlate to the Deliverables provided to the respective Buyer and Cluster Members;</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Key Performance Indicators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985" w:right="0" w:hanging="851"/>
        <w:jc w:val="left"/>
        <w:rPr>
          <w:rFonts w:ascii="Arial" w:cs="Arial" w:eastAsia="Arial" w:hAnsi="Arial"/>
          <w:b w:val="0"/>
          <w:bCs w:val="0"/>
          <w:sz w:val="24"/>
          <w:szCs w:val="24"/>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such further adjustments as the Buyer and each Cluster Member may notify to the Supplier from time to time.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907" w:right="0" w:hanging="85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pageBreakBefore w:val="1"/>
        <w:pBdr>
          <w:top w:space="0" w:sz="0" w:val="nil"/>
          <w:left w:space="0" w:sz="0" w:val="nil"/>
          <w:bottom w:space="0" w:sz="0" w:val="nil"/>
          <w:right w:space="0" w:sz="0" w:val="nil"/>
          <w:between w:space="0" w:sz="0" w:val="nil"/>
        </w:pBdr>
        <w:spacing w:after="120" w:before="120" w:line="240" w:lineRule="auto"/>
        <w:rPr>
          <w:b w:val="1"/>
          <w:bCs w:val="1"/>
          <w:color w:val="000000"/>
          <w:sz w:val="36"/>
          <w:szCs w:val="36"/>
        </w:rPr>
      </w:pPr>
      <w:r w:rsidDel="00000000" w:rsidR="00000000" w:rsidRPr="00000000">
        <w:rPr>
          <w:b w:val="1"/>
          <w:bCs w:val="1"/>
          <w:color w:val="000000"/>
          <w:sz w:val="36"/>
          <w:szCs w:val="36"/>
          <w:rtl w:val="0"/>
        </w:rPr>
        <w:t xml:space="preserve">Annex </w:t>
      </w:r>
      <w:bookmarkStart w:colFirst="0" w:colLast="0" w:name="y7dj8q3qebyb" w:id="6"/>
      <w:bookmarkEnd w:id="6"/>
      <w:r w:rsidDel="00000000" w:rsidR="00000000" w:rsidRPr="00000000">
        <w:rPr>
          <w:b w:val="1"/>
          <w:bCs w:val="1"/>
          <w:color w:val="000000"/>
          <w:sz w:val="36"/>
          <w:szCs w:val="36"/>
          <w:rtl w:val="0"/>
        </w:rPr>
        <w:t xml:space="preserve">A – Cluster Members</w:t>
      </w:r>
    </w:p>
    <w:p w:rsidR="00000000" w:rsidDel="00000000" w:rsidP="00000000" w:rsidRDefault="00000000" w:rsidRPr="00000000" w14:paraId="00000021">
      <w:pPr>
        <w:keepNext w:val="1"/>
        <w:spacing w:after="120" w:before="120" w:line="240" w:lineRule="auto"/>
        <w:rPr/>
      </w:pPr>
      <w:r w:rsidDel="00000000" w:rsidR="00000000" w:rsidRPr="00000000">
        <w:rPr>
          <w:rtl w:val="0"/>
        </w:rPr>
        <w:t xml:space="preserve">The Deliverables shall also be provided for the benefit of the following Cluster Members:</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keepNext w:val="1"/>
              <w:keepLines w:val="1"/>
              <w:spacing w:after="120" w:before="120" w:line="240" w:lineRule="auto"/>
              <w:rPr/>
            </w:pPr>
            <w:r w:rsidDel="00000000" w:rsidR="00000000" w:rsidRPr="00000000">
              <w:rPr>
                <w:rtl w:val="0"/>
              </w:rPr>
              <w:t xml:space="preserve">Name of Cluster Member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1"/>
              <w:keepLines w:val="1"/>
              <w:spacing w:after="120" w:before="120" w:line="240" w:lineRule="auto"/>
              <w:rPr/>
            </w:pPr>
            <w:r w:rsidDel="00000000" w:rsidR="00000000" w:rsidRPr="00000000">
              <w:rPr>
                <w:rtl w:val="0"/>
              </w:rPr>
              <w:t xml:space="preserve">Services to be provided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keepNext w:val="1"/>
              <w:keepLines w:val="1"/>
              <w:spacing w:after="120" w:before="120" w:line="240" w:lineRule="auto"/>
              <w:rPr/>
            </w:pPr>
            <w:r w:rsidDel="00000000" w:rsidR="00000000" w:rsidRPr="00000000">
              <w:rPr>
                <w:rtl w:val="0"/>
              </w:rPr>
              <w:t xml:space="preserve">Duration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1"/>
              <w:keepLines w:val="1"/>
              <w:spacing w:after="120" w:before="120" w:line="240" w:lineRule="auto"/>
              <w:rPr/>
            </w:pPr>
            <w:r w:rsidDel="00000000" w:rsidR="00000000" w:rsidRPr="00000000">
              <w:rPr>
                <w:rtl w:val="0"/>
              </w:rPr>
              <w:t xml:space="preserve">Special Terms</w:t>
            </w:r>
          </w:p>
        </w:tc>
      </w:tr>
      <w:tr>
        <w:trPr>
          <w:cantSplit w:val="0"/>
          <w:tblHeader w:val="0"/>
        </w:trPr>
        <w:tc>
          <w:tcPr/>
          <w:p w:rsidR="00000000" w:rsidDel="00000000" w:rsidP="00000000" w:rsidRDefault="00000000" w:rsidRPr="00000000" w14:paraId="00000026">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7">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8">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9">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2A">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B">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C">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D">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2E">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2F">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0">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1">
            <w:pPr>
              <w:keepNext w:val="1"/>
              <w:keepLines w:val="1"/>
              <w:spacing w:after="120" w:before="120" w:line="240" w:lineRule="auto"/>
              <w:jc w:val="center"/>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32">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3">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4">
            <w:pPr>
              <w:keepNext w:val="1"/>
              <w:keepLines w:val="1"/>
              <w:spacing w:after="120" w:before="120" w:line="240" w:lineRule="auto"/>
              <w:jc w:val="center"/>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35">
            <w:pPr>
              <w:keepNext w:val="1"/>
              <w:keepLines w:val="1"/>
              <w:spacing w:after="120" w:before="120" w:line="240" w:lineRule="auto"/>
              <w:jc w:val="center"/>
              <w:rPr>
                <w:highlight w:val="yellow"/>
              </w:rPr>
            </w:pPr>
            <w:r w:rsidDel="00000000" w:rsidR="00000000" w:rsidRPr="00000000">
              <w:rPr>
                <w:highlight w:val="yellow"/>
                <w:rtl w:val="0"/>
              </w:rPr>
              <w:t xml:space="preserve">[  ]</w:t>
            </w:r>
          </w:p>
        </w:tc>
      </w:tr>
    </w:tbl>
    <w:p w:rsidR="00000000" w:rsidDel="00000000" w:rsidP="00000000" w:rsidRDefault="00000000" w:rsidRPr="00000000" w14:paraId="00000036">
      <w:pPr>
        <w:spacing w:after="120" w:before="120" w:line="240" w:lineRule="auto"/>
        <w:rPr/>
      </w:pPr>
      <w:r w:rsidDel="00000000" w:rsidR="00000000" w:rsidRPr="00000000">
        <w:rPr>
          <w:rtl w:val="0"/>
        </w:rPr>
      </w:r>
    </w:p>
    <w:sectPr>
      <w:headerReference r:id="rId6" w:type="default"/>
      <w:foot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3C">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3D">
    <w:pP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spacing w:after="0" w:line="24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b w:val="1"/>
        <w:bCs w:val="1"/>
        <w:color w:val="000000"/>
        <w:sz w:val="22"/>
        <w:szCs w:val="22"/>
      </w:rPr>
    </w:pPr>
    <w:r w:rsidDel="00000000" w:rsidR="00000000" w:rsidRPr="00000000">
      <w:rPr>
        <w:b w:val="1"/>
        <w:bCs w:val="1"/>
        <w:color w:val="000000"/>
        <w:sz w:val="22"/>
        <w:szCs w:val="22"/>
        <w:rtl w:val="0"/>
      </w:rPr>
      <w:t xml:space="preserve">Call-Off Schedule 12 (Clustering)</w:t>
    </w:r>
  </w:p>
  <w:p w:rsidR="00000000" w:rsidDel="00000000" w:rsidP="00000000" w:rsidRDefault="00000000" w:rsidRPr="00000000" w14:paraId="00000038">
    <w:pPr>
      <w:spacing w:after="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39">
    <w:pPr>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cs="Arial" w:eastAsia="Arial" w:hAnsi="Arial"/>
        <w:i w:val="0"/>
        <w:iCs w:val="0"/>
        <w:smallCaps w:val="0"/>
        <w:strike w:val="0"/>
        <w:color w:val="000000"/>
        <w:u w:val="none"/>
        <w:vertAlign w:val="baseline"/>
      </w:rPr>
    </w:lvl>
    <w:lvl w:ilvl="2">
      <w:start w:val="1"/>
      <w:numFmt w:val="decimal"/>
      <w:lvlText w:val="%1.%2.%3"/>
      <w:lvlJc w:val="left"/>
      <w:pPr>
        <w:ind w:left="1757" w:hanging="850.0000000000001"/>
      </w:pPr>
      <w:rPr>
        <w:i w:val="0"/>
        <w:iCs w:val="0"/>
        <w:smallCaps w:val="0"/>
        <w:strike w:val="0"/>
        <w:color w:val="000000"/>
        <w:u w:val="none"/>
        <w:vertAlign w:val="baseline"/>
      </w:rPr>
    </w:lvl>
    <w:lvl w:ilvl="3">
      <w:start w:val="1"/>
      <w:numFmt w:val="lowerLetter"/>
      <w:lvlText w:val="(%4)"/>
      <w:lvlJc w:val="left"/>
      <w:pPr>
        <w:ind w:left="2606" w:hanging="848.9999999999998"/>
      </w:pPr>
      <w:rPr>
        <w:rFonts w:ascii="Arial" w:cs="Arial" w:eastAsia="Arial" w:hAnsi="Arial"/>
        <w:i w:val="0"/>
        <w:iCs w:val="0"/>
        <w:smallCap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93588345</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93588345-1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